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FC20D3" w:rsidRDefault="00955A45">
      <w:pPr>
        <w:spacing w:after="200"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 12/2019</w:t>
      </w:r>
    </w:p>
    <w:p w14:paraId="598A8AA9" w14:textId="77777777" w:rsidR="00FC20D3" w:rsidRDefault="00955A45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0787EEC2" w14:textId="4AD48429" w:rsidR="00FC20D3" w:rsidRPr="00955A45" w:rsidRDefault="0E6C80A5" w:rsidP="0E6C80A5">
      <w:pPr>
        <w:spacing w:after="0" w:line="240" w:lineRule="auto"/>
        <w:jc w:val="center"/>
        <w:rPr>
          <w:rFonts w:ascii="Corbel" w:eastAsia="Corbel" w:hAnsi="Corbel" w:cs="Corbel"/>
          <w:b/>
          <w:i/>
          <w:iCs/>
          <w:sz w:val="24"/>
          <w:szCs w:val="24"/>
        </w:rPr>
      </w:pPr>
      <w:r w:rsidRPr="0E6C80A5">
        <w:rPr>
          <w:rFonts w:ascii="Corbel" w:eastAsia="Corbel" w:hAnsi="Corbel" w:cs="Corbel"/>
          <w:b/>
          <w:bCs/>
          <w:sz w:val="24"/>
          <w:szCs w:val="24"/>
        </w:rPr>
        <w:t>dotyczy cyklu kształcenia</w:t>
      </w:r>
      <w:r w:rsidRPr="0E6C80A5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="00456A7B" w:rsidRPr="00955A45">
        <w:rPr>
          <w:rFonts w:ascii="Corbel" w:eastAsia="Corbel" w:hAnsi="Corbel" w:cs="Corbel"/>
          <w:b/>
          <w:i/>
          <w:iCs/>
          <w:sz w:val="24"/>
          <w:szCs w:val="24"/>
        </w:rPr>
        <w:t>2022/2023 – 2024/2025</w:t>
      </w:r>
    </w:p>
    <w:p w14:paraId="13D0597C" w14:textId="77777777" w:rsidR="00FC20D3" w:rsidRDefault="00955A45">
      <w:pPr>
        <w:spacing w:after="0" w:line="240" w:lineRule="auto"/>
        <w:jc w:val="center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ab/>
        <w:t xml:space="preserve">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</w:p>
    <w:p w14:paraId="39DE5D2F" w14:textId="77777777" w:rsidR="00FC20D3" w:rsidRDefault="00955A45" w:rsidP="5C1D7C7D">
      <w:pPr>
        <w:spacing w:after="0" w:line="240" w:lineRule="auto"/>
        <w:ind w:left="720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 w:rsidR="5C1D7C7D" w:rsidRPr="5C1D7C7D">
        <w:rPr>
          <w:rFonts w:ascii="Corbel" w:eastAsia="Corbel" w:hAnsi="Corbel" w:cs="Corbel"/>
          <w:sz w:val="20"/>
          <w:szCs w:val="20"/>
        </w:rPr>
        <w:t>Rok akademicki 2024/2025</w:t>
      </w:r>
      <w:bookmarkStart w:id="0" w:name="_GoBack"/>
      <w:bookmarkEnd w:id="0"/>
    </w:p>
    <w:p w14:paraId="672A665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40"/>
        <w:gridCol w:w="6828"/>
      </w:tblGrid>
      <w:tr w:rsidR="00FC20D3" w14:paraId="379485A2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701564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08395C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b/>
                <w:color w:val="000000"/>
                <w:sz w:val="24"/>
              </w:rPr>
              <w:t>Dobre s</w:t>
            </w:r>
            <w:r>
              <w:rPr>
                <w:rFonts w:ascii="Corbel" w:eastAsia="Corbel" w:hAnsi="Corbel" w:cs="Corbel"/>
                <w:b/>
                <w:color w:val="000000"/>
                <w:sz w:val="24"/>
              </w:rPr>
              <w:t>ąsiedztwo i jego zagrożenia</w:t>
            </w:r>
          </w:p>
        </w:tc>
      </w:tr>
      <w:tr w:rsidR="00FC20D3" w14:paraId="5B2C6196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A29152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23D2EC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MK_36</w:t>
            </w:r>
          </w:p>
        </w:tc>
      </w:tr>
      <w:tr w:rsidR="00FC20D3" w14:paraId="5C0172EC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9A5C16" w14:textId="77777777" w:rsidR="00FC20D3" w:rsidRDefault="00955A45">
            <w:pPr>
              <w:tabs>
                <w:tab w:val="left" w:pos="-5643"/>
              </w:tabs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3E3000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Kolegium Nauk Społecznych</w:t>
            </w:r>
          </w:p>
        </w:tc>
      </w:tr>
      <w:tr w:rsidR="00FC20D3" w14:paraId="5F4450B1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39E105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BCBDC3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I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nstytut Nauk o Polityce</w:t>
            </w:r>
          </w:p>
        </w:tc>
      </w:tr>
      <w:tr w:rsidR="00FC20D3" w14:paraId="58415E7B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835047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D61E9E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Stosunki międzynarodowe</w:t>
            </w:r>
          </w:p>
        </w:tc>
      </w:tr>
      <w:tr w:rsidR="00FC20D3" w14:paraId="7CADDEE4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8A1CED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10F33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Poziom I</w:t>
            </w:r>
          </w:p>
        </w:tc>
      </w:tr>
      <w:tr w:rsidR="00FC20D3" w14:paraId="51B60F1E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C0481C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2686D8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Ogólnoakademicki </w:t>
            </w:r>
          </w:p>
        </w:tc>
      </w:tr>
      <w:tr w:rsidR="00FC20D3" w14:paraId="5B469018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3992E0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440E62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stacjonarne</w:t>
            </w:r>
          </w:p>
        </w:tc>
      </w:tr>
      <w:tr w:rsidR="00FC20D3" w14:paraId="3B482592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AAF248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866F36" w14:textId="344EB560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III 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 xml:space="preserve">/ V </w:t>
            </w:r>
          </w:p>
        </w:tc>
      </w:tr>
      <w:tr w:rsidR="00FC20D3" w14:paraId="480733A6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63A118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EE4E00" w14:textId="110B8575" w:rsidR="00FC20D3" w:rsidRPr="00456A7B" w:rsidRDefault="49192ACB" w:rsidP="0332A61B">
            <w:pPr>
              <w:spacing w:before="100" w:after="10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456A7B">
              <w:rPr>
                <w:rFonts w:ascii="Corbel" w:eastAsia="Corbel" w:hAnsi="Corbel" w:cs="Corbel"/>
                <w:sz w:val="24"/>
                <w:szCs w:val="24"/>
              </w:rPr>
              <w:t>specjalnościowy</w:t>
            </w:r>
          </w:p>
        </w:tc>
      </w:tr>
      <w:tr w:rsidR="00FC20D3" w14:paraId="26EB6C12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A990D4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D1FAC9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Polski</w:t>
            </w:r>
          </w:p>
        </w:tc>
      </w:tr>
      <w:tr w:rsidR="00FC20D3" w14:paraId="604B1EAA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C2AF6E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295EC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Dr hab. Grzegorz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Bonusiak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>, prof. UR</w:t>
            </w:r>
          </w:p>
        </w:tc>
      </w:tr>
      <w:tr w:rsidR="00FC20D3" w14:paraId="6B4CB27B" w14:textId="77777777" w:rsidTr="00456A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1FE442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Imi</w:t>
            </w:r>
            <w:r>
              <w:rPr>
                <w:rFonts w:ascii="Corbel" w:eastAsia="Corbel" w:hAnsi="Corbel" w:cs="Corbel"/>
                <w:sz w:val="24"/>
              </w:rPr>
              <w:t>ę i nazwisko osoby prowadzącej / osób prowadzących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13751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Dr hab. Grzegorz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Bonusiak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>, prof. UR</w:t>
            </w:r>
          </w:p>
        </w:tc>
      </w:tr>
    </w:tbl>
    <w:p w14:paraId="4DE066A3" w14:textId="55807FDA" w:rsidR="00FC20D3" w:rsidRDefault="00955A45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 w:rsidR="000A255F"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0A37501D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0A0F74" w14:textId="77777777" w:rsidR="00FC20D3" w:rsidRDefault="00955A45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5DAB6C7B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5"/>
        <w:gridCol w:w="870"/>
        <w:gridCol w:w="695"/>
        <w:gridCol w:w="915"/>
        <w:gridCol w:w="737"/>
        <w:gridCol w:w="821"/>
        <w:gridCol w:w="763"/>
        <w:gridCol w:w="948"/>
        <w:gridCol w:w="1189"/>
        <w:gridCol w:w="1505"/>
      </w:tblGrid>
      <w:tr w:rsidR="00FC20D3" w14:paraId="4A00F406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85" w:type="dxa"/>
            <w:shd w:val="clear" w:color="auto" w:fill="FFFFFF"/>
            <w:tcMar>
              <w:left w:w="108" w:type="dxa"/>
              <w:right w:w="108" w:type="dxa"/>
            </w:tcMar>
          </w:tcPr>
          <w:p w14:paraId="493A0CA5" w14:textId="77777777" w:rsidR="00FC20D3" w:rsidRDefault="00955A45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87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60AB22" w14:textId="77777777" w:rsidR="00FC20D3" w:rsidRDefault="00955A45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69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6F369B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1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9DDADA" w14:textId="77777777" w:rsidR="00FC20D3" w:rsidRDefault="00955A45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3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B6E05A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273B9D" w14:textId="77777777" w:rsidR="00FC20D3" w:rsidRDefault="00955A45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A8E3D2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FA399F" w14:textId="77777777" w:rsidR="00FC20D3" w:rsidRDefault="00955A45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8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5B1B43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74E17E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FC20D3" w14:paraId="021EBDCD" w14:textId="77777777" w:rsidTr="000A255F">
        <w:tblPrEx>
          <w:tblCellMar>
            <w:top w:w="0" w:type="dxa"/>
            <w:bottom w:w="0" w:type="dxa"/>
          </w:tblCellMar>
        </w:tblPrEx>
        <w:tc>
          <w:tcPr>
            <w:tcW w:w="1185" w:type="dxa"/>
            <w:shd w:val="clear" w:color="auto" w:fill="FFFFFF"/>
            <w:tcMar>
              <w:left w:w="108" w:type="dxa"/>
              <w:right w:w="108" w:type="dxa"/>
            </w:tcMar>
          </w:tcPr>
          <w:p w14:paraId="3696C343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</w:t>
            </w:r>
          </w:p>
        </w:tc>
        <w:tc>
          <w:tcPr>
            <w:tcW w:w="87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EB378F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9897CE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91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A05A809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39BBE3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8F396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2A3D3EC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0B940D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27B00A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28C26E1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60061E4C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44EAFD9C" w14:textId="77777777" w:rsidR="00FC20D3" w:rsidRDefault="00FC20D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2F9EB3F8" w14:textId="458D0F0F" w:rsidR="0332A61B" w:rsidRDefault="0332A61B" w:rsidP="0332A61B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bCs/>
          <w:sz w:val="24"/>
          <w:szCs w:val="24"/>
        </w:rPr>
      </w:pPr>
    </w:p>
    <w:p w14:paraId="7713D631" w14:textId="77777777" w:rsidR="00FC20D3" w:rsidRDefault="00955A45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lastRenderedPageBreak/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58DF5E40" w14:textId="77777777" w:rsidR="00FC20D3" w:rsidRDefault="00955A45">
      <w:pPr>
        <w:spacing w:after="0" w:line="240" w:lineRule="auto"/>
        <w:ind w:left="709"/>
        <w:rPr>
          <w:rFonts w:ascii="Corbel" w:eastAsia="Corbel" w:hAnsi="Corbel" w:cs="Corbel"/>
          <w:sz w:val="24"/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☐</w:t>
      </w:r>
      <w:r>
        <w:rPr>
          <w:rFonts w:ascii="Corbel" w:eastAsia="Corbel" w:hAnsi="Corbel" w:cs="Corbel"/>
          <w:sz w:val="24"/>
          <w:u w:val="single"/>
        </w:rPr>
        <w:t xml:space="preserve"> zajęcia w formie tradycyjnej</w:t>
      </w:r>
    </w:p>
    <w:p w14:paraId="386692D9" w14:textId="77777777" w:rsidR="00FC20D3" w:rsidRDefault="00955A45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4B94D5A5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77777777" w:rsidR="00FC20D3" w:rsidRDefault="00955A45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</w:t>
      </w:r>
      <w:r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</w:p>
    <w:p w14:paraId="55D48E7E" w14:textId="77777777" w:rsidR="00FC20D3" w:rsidRDefault="00955A45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zaliczenie z oceną</w:t>
      </w:r>
    </w:p>
    <w:p w14:paraId="3DEEC66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2.Wymagania wstępne </w:t>
      </w:r>
    </w:p>
    <w:p w14:paraId="3656B9AB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A3DBB6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25BDF1" w14:textId="77777777" w:rsidR="00FC20D3" w:rsidRDefault="00955A45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Student posiada wiedzę o stosunkach międzynarodowych oraz teorii państwa</w:t>
            </w:r>
          </w:p>
        </w:tc>
      </w:tr>
    </w:tbl>
    <w:p w14:paraId="45FB0818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469B63C5" w14:textId="052F9684" w:rsidR="00FC20D3" w:rsidRDefault="0332A61B" w:rsidP="0332A61B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  <w:r w:rsidRPr="0332A61B">
        <w:rPr>
          <w:rFonts w:ascii="Corbel" w:eastAsia="Corbel" w:hAnsi="Corbel" w:cs="Corbel"/>
          <w:b/>
          <w:bCs/>
          <w:sz w:val="24"/>
          <w:szCs w:val="24"/>
        </w:rPr>
        <w:t>3.</w:t>
      </w:r>
      <w:r w:rsidR="271B0F5F" w:rsidRPr="0332A61B">
        <w:rPr>
          <w:rFonts w:ascii="Corbel" w:eastAsia="Corbel" w:hAnsi="Corbel" w:cs="Corbel"/>
          <w:b/>
          <w:bCs/>
          <w:sz w:val="24"/>
          <w:szCs w:val="24"/>
        </w:rPr>
        <w:t xml:space="preserve"> C</w:t>
      </w:r>
      <w:r w:rsidRPr="0332A61B">
        <w:rPr>
          <w:rFonts w:ascii="Corbel" w:eastAsia="Corbel" w:hAnsi="Corbel" w:cs="Corbel"/>
          <w:b/>
          <w:bCs/>
          <w:sz w:val="24"/>
          <w:szCs w:val="24"/>
        </w:rPr>
        <w:t>ele, efekty uczenia się , treści Programowe i stosowane metody Dydaktyczne</w:t>
      </w:r>
    </w:p>
    <w:p w14:paraId="049F31CB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FC20D3" w:rsidRDefault="00955A45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53128261" w14:textId="77777777" w:rsidR="00FC20D3" w:rsidRDefault="00FC20D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9"/>
        <w:gridCol w:w="8629"/>
      </w:tblGrid>
      <w:tr w:rsidR="00FC20D3" w14:paraId="537668C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FC20D3" w:rsidRDefault="00955A45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C262F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zapoznanie studentów z wiedzą dotyczącą z koncepcją dobrego sąsiedztwa</w:t>
            </w:r>
          </w:p>
        </w:tc>
      </w:tr>
      <w:tr w:rsidR="00FC20D3" w14:paraId="1F78063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FC20D3" w:rsidRDefault="00955A45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02698D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przedstawienie prawnomiędzynarodowych zasad dobrego sąsiedztwa</w:t>
            </w:r>
          </w:p>
        </w:tc>
      </w:tr>
      <w:tr w:rsidR="00FC20D3" w14:paraId="1E3E9A3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FC20D3" w:rsidRDefault="00955A45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7D9BB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analiza zagrożeń dla dobrosąsiedzkich relacji pomiędzy państwami</w:t>
            </w:r>
          </w:p>
        </w:tc>
      </w:tr>
    </w:tbl>
    <w:p w14:paraId="62486C05" w14:textId="77777777" w:rsidR="00FC20D3" w:rsidRDefault="00FC20D3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3DDEBA1D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</w:t>
      </w:r>
      <w:r>
        <w:rPr>
          <w:rFonts w:ascii="Corbel" w:eastAsia="Corbel" w:hAnsi="Corbel" w:cs="Corbel"/>
          <w:b/>
          <w:sz w:val="24"/>
        </w:rPr>
        <w:t>ę dla przedmiotu</w:t>
      </w:r>
    </w:p>
    <w:p w14:paraId="4101652C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3"/>
        <w:gridCol w:w="5933"/>
        <w:gridCol w:w="1862"/>
      </w:tblGrid>
      <w:tr w:rsidR="00FC20D3" w14:paraId="61F38664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145ED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EC5602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352D2E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FC20D3" w14:paraId="4B18D2B9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CA596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F020CD" w14:textId="0C521537" w:rsidR="00FC20D3" w:rsidRDefault="247B99F6" w:rsidP="0E6C80A5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Ma wiedz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ę o zasadzie dobrego sąsiedztwa i jej wymiarach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D3A7D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K_W03,</w:t>
            </w:r>
          </w:p>
          <w:p w14:paraId="2C5B2A4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FC20D3" w14:paraId="5566DC69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A76B19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EB09065" w14:textId="77777777" w:rsidR="00FC20D3" w:rsidRDefault="0E6C80A5" w:rsidP="0E6C80A5">
            <w:pPr>
              <w:spacing w:after="200" w:line="276" w:lineRule="auto"/>
              <w:jc w:val="both"/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Przedstawia i analizuje przyczyny i rodzaje zagrożeń dla dobro 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CC139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K_W03,</w:t>
            </w:r>
          </w:p>
          <w:p w14:paraId="2A4E307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FC20D3" w14:paraId="5AF7560C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960800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8C6A4D" w14:textId="2478F3C1" w:rsidR="00FC20D3" w:rsidRDefault="7C5C4F9B" w:rsidP="0E6C80A5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P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otrafi</w:t>
            </w:r>
            <w:r w:rsidRPr="5B4D15F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omówić znaczenie dobrego sąsiedztwa  dla bezpieczeństwa międzynarodowego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FCD0C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K_U01</w:t>
            </w:r>
          </w:p>
          <w:p w14:paraId="4B99056E" w14:textId="77777777" w:rsidR="00FC20D3" w:rsidRDefault="00FC20D3">
            <w:pPr>
              <w:spacing w:after="0" w:line="240" w:lineRule="auto"/>
            </w:pPr>
          </w:p>
        </w:tc>
      </w:tr>
      <w:tr w:rsidR="00FC20D3" w14:paraId="0C36A448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C3198C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BE3EF3" w14:textId="0A4FF705" w:rsidR="00FC20D3" w:rsidRDefault="02971AA9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M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5B4D15F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wiedzę dotyczącą prawnych gwarancji dla dobrosąsiedzkich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0E9CF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K_W04,</w:t>
            </w:r>
          </w:p>
          <w:p w14:paraId="22BF0ACE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FC20D3" w14:paraId="19849D23" w14:textId="77777777" w:rsidTr="0E6C80A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435726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20F9E53" w14:textId="77777777" w:rsidR="00FC20D3" w:rsidRDefault="00955A45">
            <w:pPr>
              <w:spacing w:after="200" w:line="276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>Wykorzystuje materiały źródłowe do przygotowania wypowiedzi ustnej i pracy pisemnej o wybranym zagrożeniu dobrosąsiedzkich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C88C2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K_U06,</w:t>
            </w:r>
          </w:p>
          <w:p w14:paraId="54E3E2D9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K_K01</w:t>
            </w:r>
          </w:p>
        </w:tc>
      </w:tr>
    </w:tbl>
    <w:p w14:paraId="1299C43A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460802D" w14:textId="415A9D24" w:rsidR="0E6C80A5" w:rsidRDefault="0E6C80A5" w:rsidP="0E6C80A5">
      <w:pPr>
        <w:spacing w:after="200"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5B09A053" w14:textId="77777777" w:rsidR="00FC20D3" w:rsidRDefault="00955A45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3.3Treści programowe </w:t>
      </w:r>
    </w:p>
    <w:p w14:paraId="7D0EF860" w14:textId="77777777" w:rsidR="00FC20D3" w:rsidRDefault="00955A45">
      <w:pPr>
        <w:numPr>
          <w:ilvl w:val="0"/>
          <w:numId w:val="1"/>
        </w:numPr>
        <w:spacing w:after="120" w:line="240" w:lineRule="auto"/>
        <w:ind w:left="1080" w:hanging="36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Problematyka wykładu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87EA2A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FC20D3" w:rsidRDefault="00955A45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Tre</w:t>
            </w:r>
            <w:r>
              <w:rPr>
                <w:rFonts w:ascii="Corbel" w:eastAsia="Corbel" w:hAnsi="Corbel" w:cs="Corbel"/>
                <w:sz w:val="24"/>
              </w:rPr>
              <w:t>ści merytoryczne</w:t>
            </w:r>
          </w:p>
        </w:tc>
      </w:tr>
      <w:tr w:rsidR="00FC20D3" w14:paraId="5AA2FE9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FC20D3" w:rsidRDefault="00955A45">
            <w:pPr>
              <w:spacing w:after="0" w:line="240" w:lineRule="auto"/>
              <w:ind w:left="-250" w:firstLine="2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4DDBEF00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5513626" w14:textId="77777777" w:rsidR="00FC20D3" w:rsidRDefault="00955A45">
      <w:pPr>
        <w:numPr>
          <w:ilvl w:val="0"/>
          <w:numId w:val="2"/>
        </w:numPr>
        <w:spacing w:after="200" w:line="240" w:lineRule="auto"/>
        <w:ind w:left="1080" w:hanging="36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522549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9D229" w14:textId="77777777" w:rsidR="00FC20D3" w:rsidRDefault="00955A45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FC20D3" w14:paraId="4C57943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7F1ED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i jej rozumienie</w:t>
            </w:r>
          </w:p>
          <w:p w14:paraId="79012AA0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Dobre sąsiedztwo a zakaz agresji, pokojowe wspó</w:t>
            </w:r>
            <w:r>
              <w:rPr>
                <w:rFonts w:ascii="Corbel" w:eastAsia="Corbel" w:hAnsi="Corbel" w:cs="Corbel"/>
                <w:sz w:val="24"/>
              </w:rPr>
              <w:t>łistnienie i inne zasady stosunków międzynarodowych</w:t>
            </w:r>
          </w:p>
          <w:p w14:paraId="52C6632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w prawie międzynarodowym</w:t>
            </w:r>
          </w:p>
          <w:p w14:paraId="1C499148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w relacjach bilateralnych – traktaty o dobrym sąsiedztwie</w:t>
            </w:r>
          </w:p>
          <w:p w14:paraId="53B6B9F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Polskie traktaty o dobrym sąsiedztwie</w:t>
            </w:r>
          </w:p>
          <w:p w14:paraId="7C63C979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Analiza wybranych zagrożeń do d</w:t>
            </w:r>
            <w:r>
              <w:rPr>
                <w:rFonts w:ascii="Corbel" w:eastAsia="Corbel" w:hAnsi="Corbel" w:cs="Corbel"/>
                <w:sz w:val="24"/>
              </w:rPr>
              <w:t>obrosąsiedzkich relacji pomiędzy państwami</w:t>
            </w:r>
          </w:p>
          <w:p w14:paraId="3461D779" w14:textId="77777777" w:rsidR="00FC20D3" w:rsidRDefault="00FC20D3">
            <w:pPr>
              <w:spacing w:after="0" w:line="240" w:lineRule="auto"/>
            </w:pPr>
          </w:p>
        </w:tc>
      </w:tr>
    </w:tbl>
    <w:p w14:paraId="3CF2D8B6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63B82D2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</w:p>
    <w:p w14:paraId="0FB78278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81BCDF1" w14:textId="77777777" w:rsidR="00FC20D3" w:rsidRDefault="00955A45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 problemowy, praca w grupach, dyskusja nad „</w:t>
      </w:r>
      <w:proofErr w:type="spellStart"/>
      <w:r>
        <w:rPr>
          <w:rFonts w:ascii="Corbel" w:eastAsia="Corbel" w:hAnsi="Corbel" w:cs="Corbel"/>
          <w:sz w:val="24"/>
        </w:rPr>
        <w:t>case</w:t>
      </w:r>
      <w:proofErr w:type="spellEnd"/>
      <w:r>
        <w:rPr>
          <w:rFonts w:ascii="Corbel" w:eastAsia="Corbel" w:hAnsi="Corbel" w:cs="Corbel"/>
          <w:sz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</w:rPr>
        <w:t>study</w:t>
      </w:r>
      <w:proofErr w:type="spellEnd"/>
      <w:r>
        <w:rPr>
          <w:rFonts w:ascii="Corbel" w:eastAsia="Corbel" w:hAnsi="Corbel" w:cs="Corbel"/>
          <w:sz w:val="24"/>
        </w:rPr>
        <w:t>”, analiza tekstów prawnych (traktatów o dobrym sąsiedztwie)</w:t>
      </w:r>
    </w:p>
    <w:p w14:paraId="1FC39945" w14:textId="77777777" w:rsidR="00FC20D3" w:rsidRDefault="00FC20D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7FB1868" w14:textId="77777777" w:rsidR="00FC20D3" w:rsidRDefault="00955A45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 METODY I KRYTERIA OCENY</w:t>
      </w:r>
    </w:p>
    <w:p w14:paraId="0562CB0E" w14:textId="77777777" w:rsidR="00FC20D3" w:rsidRDefault="00FC20D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</w:t>
      </w:r>
      <w:r>
        <w:rPr>
          <w:rFonts w:ascii="Corbel" w:eastAsia="Corbel" w:hAnsi="Corbel" w:cs="Corbel"/>
          <w:b/>
          <w:sz w:val="24"/>
        </w:rPr>
        <w:t>nia się</w:t>
      </w:r>
    </w:p>
    <w:p w14:paraId="34CE0A41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2"/>
        <w:gridCol w:w="5403"/>
        <w:gridCol w:w="2113"/>
      </w:tblGrid>
      <w:tr w:rsidR="00FC20D3" w14:paraId="5C3740EA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C1A4F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C1580F" w14:textId="50B26749" w:rsidR="00FC20D3" w:rsidRDefault="5B4D15FA" w:rsidP="5B4D15FA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5B4D15FA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Metody oceny efektów uczenia </w:t>
            </w:r>
            <w:r w:rsidR="50730CF7" w:rsidRPr="5B4D15FA">
              <w:rPr>
                <w:rFonts w:ascii="Corbel" w:eastAsia="Corbel" w:hAnsi="Corbel" w:cs="Corbel"/>
                <w:sz w:val="24"/>
                <w:szCs w:val="24"/>
              </w:rPr>
              <w:t>się</w:t>
            </w:r>
          </w:p>
          <w:p w14:paraId="12080E0F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A5CD06" w14:textId="77777777" w:rsidR="00FC20D3" w:rsidRDefault="00955A45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FC20D3" w14:paraId="02E93D7B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17368564" w14:textId="77777777" w:rsidR="00FC20D3" w:rsidRDefault="00955A45">
            <w:pPr>
              <w:spacing w:after="0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_ 01 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E54D27D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5B793073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55318E26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727CF0E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6CB22DD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06066E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7BD947C9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002D746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64000D5B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50551F48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5AF6BA56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5990E71B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FCC96F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018A3C57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6D829E88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4A2F109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0DF8A07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praca 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EAB3025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</w:tbl>
    <w:p w14:paraId="62EBF3C5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55156CD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4.2 Warunki zaliczenia przedmiotu (kryteria oceniania)</w:t>
      </w:r>
    </w:p>
    <w:p w14:paraId="6D98A12B" w14:textId="77777777" w:rsidR="00FC20D3" w:rsidRDefault="00FC20D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67FE4147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shd w:val="clear" w:color="auto" w:fill="FFFFFF"/>
            <w:tcMar>
              <w:left w:w="108" w:type="dxa"/>
              <w:right w:w="108" w:type="dxa"/>
            </w:tcMar>
          </w:tcPr>
          <w:p w14:paraId="2FFEF79B" w14:textId="5DC17644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Aktywne uczestnictwo w zajęciach, przedstawienie projektu badawczego, zaliczenie kolokwium końcowego</w:t>
            </w:r>
          </w:p>
          <w:p w14:paraId="5997CC1D" w14:textId="77777777" w:rsidR="00FC20D3" w:rsidRDefault="00FC20D3">
            <w:pPr>
              <w:spacing w:after="0" w:line="240" w:lineRule="auto"/>
            </w:pPr>
          </w:p>
        </w:tc>
      </w:tr>
    </w:tbl>
    <w:p w14:paraId="110FFD37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066DA3" w14:textId="77777777" w:rsidR="00FC20D3" w:rsidRDefault="00955A4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5. CAŁKOWITY NAKŁAD PRACY STUDENTA POTRZEBNY DO OSIĄGNIĘCIA ZAŁOŻONYCH EFEKT</w:t>
      </w:r>
      <w:r>
        <w:rPr>
          <w:rFonts w:ascii="Corbel" w:eastAsia="Corbel" w:hAnsi="Corbel" w:cs="Corbel"/>
          <w:b/>
          <w:sz w:val="24"/>
        </w:rPr>
        <w:t xml:space="preserve">ÓW W GODZINACH ORAZ PUNKTACH ECTS </w:t>
      </w:r>
    </w:p>
    <w:p w14:paraId="6B69937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3"/>
        <w:gridCol w:w="4585"/>
      </w:tblGrid>
      <w:tr w:rsidR="00FC20D3" w14:paraId="3808A828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452BB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7268D1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</w:p>
        </w:tc>
      </w:tr>
      <w:tr w:rsidR="00FC20D3" w14:paraId="7ABF6D24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1AD020E3" w14:textId="286431A7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60DA3216" w14:textId="77777777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FC20D3" w14:paraId="409F0BAA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2750A6C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5D36975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10</w:t>
            </w:r>
          </w:p>
        </w:tc>
      </w:tr>
      <w:tr w:rsidR="00FC20D3" w14:paraId="5548879C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7660431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3D5C510C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FC20D3" w14:paraId="2B55E3E1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3D4B2727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58A771A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75</w:t>
            </w:r>
          </w:p>
        </w:tc>
      </w:tr>
      <w:tr w:rsidR="00FC20D3" w14:paraId="14D69615" w14:textId="77777777" w:rsidTr="000A255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5FD1C35E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114DA551" w14:textId="77777777" w:rsidR="00FC20D3" w:rsidRDefault="0E6C80A5">
            <w:pPr>
              <w:spacing w:after="0" w:line="240" w:lineRule="auto"/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6BBE219B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3FE9F23F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1F72F646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FC20D3" w14:paraId="0E8E8FC4" w14:textId="77777777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1D1D4D" w14:textId="77777777" w:rsidR="00FC20D3" w:rsidRDefault="00955A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  <w:tr w:rsidR="00FC20D3" w14:paraId="605F859D" w14:textId="77777777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33D32" w14:textId="77777777" w:rsidR="00FC20D3" w:rsidRDefault="00955A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08CE6F91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BDB76AC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7. LITERATURA</w:t>
      </w:r>
    </w:p>
    <w:p w14:paraId="61CDCEAD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879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4"/>
      </w:tblGrid>
      <w:tr w:rsidR="00FC20D3" w14:paraId="061A7F34" w14:textId="77777777" w:rsidTr="000A255F">
        <w:tblPrEx>
          <w:tblCellMar>
            <w:top w:w="0" w:type="dxa"/>
            <w:bottom w:w="0" w:type="dxa"/>
          </w:tblCellMar>
        </w:tblPrEx>
        <w:tc>
          <w:tcPr>
            <w:tcW w:w="8794" w:type="dxa"/>
            <w:shd w:val="clear" w:color="auto" w:fill="FFFFFF"/>
            <w:tcMar>
              <w:left w:w="108" w:type="dxa"/>
              <w:right w:w="108" w:type="dxa"/>
            </w:tcMar>
          </w:tcPr>
          <w:p w14:paraId="729C9695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6BB9E253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2445C13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Bierzanek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Symonides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J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., Prawo międzynarodowe publiczne, Warszawa 2007</w:t>
            </w:r>
          </w:p>
          <w:p w14:paraId="2C17F3A5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T.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Jasudowicz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Zasada dobrego sąsiedztwa w karcie narodów zjednoczonych,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 xml:space="preserve"> „Acta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Universitatis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NicolaiCopernici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>” Prawo XXVII, 1990</w:t>
            </w:r>
          </w:p>
          <w:p w14:paraId="25C528C8" w14:textId="77777777" w:rsidR="00FC20D3" w:rsidRDefault="00955A45">
            <w:pPr>
              <w:spacing w:after="0" w:line="240" w:lineRule="auto"/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Meresz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T.,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Grysińska-Jarmuła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K. (red.),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Dobre i złe sąsiedztwa : historia kluczem do zrozumienia współczesnych relacji międzysąsiedzkich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Bydg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oszcz 2016</w:t>
            </w:r>
          </w:p>
        </w:tc>
      </w:tr>
      <w:tr w:rsidR="00FC20D3" w14:paraId="6A02AC0F" w14:textId="77777777" w:rsidTr="000A255F">
        <w:tblPrEx>
          <w:tblCellMar>
            <w:top w:w="0" w:type="dxa"/>
            <w:bottom w:w="0" w:type="dxa"/>
          </w:tblCellMar>
        </w:tblPrEx>
        <w:tc>
          <w:tcPr>
            <w:tcW w:w="8794" w:type="dxa"/>
            <w:shd w:val="clear" w:color="auto" w:fill="FFFFFF"/>
            <w:tcMar>
              <w:left w:w="108" w:type="dxa"/>
              <w:right w:w="108" w:type="dxa"/>
            </w:tcMar>
          </w:tcPr>
          <w:p w14:paraId="1616B1D9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Literatura uzupełniająca: </w:t>
            </w:r>
          </w:p>
          <w:p w14:paraId="23DE523C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27518D24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Barcz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Ruchniewicz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 (red.), </w:t>
            </w:r>
            <w:r>
              <w:rPr>
                <w:rFonts w:ascii="Corbel" w:eastAsia="Corbel" w:hAnsi="Corbel" w:cs="Corbel"/>
                <w:i/>
                <w:sz w:val="24"/>
              </w:rPr>
              <w:t>Akt dobrosąsiedzki : 30 lat Traktatu polsko-niemieckiego o dobrym sąsiedztwie i przyjaznej współpracy</w:t>
            </w:r>
            <w:r>
              <w:rPr>
                <w:rFonts w:ascii="Corbel" w:eastAsia="Corbel" w:hAnsi="Corbel" w:cs="Corbel"/>
                <w:sz w:val="24"/>
              </w:rPr>
              <w:t>, Wrocław 2021</w:t>
            </w:r>
          </w:p>
          <w:p w14:paraId="7035A75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Kalicka-Mikołajczyk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Europejska polityka sąsiedztwa. Konstrukcja i charakter prawny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Warszawa 2021.</w:t>
            </w:r>
          </w:p>
          <w:p w14:paraId="61734674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Malendowski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W.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 xml:space="preserve">, Spory i konflikty międzynarodowe. Aspekty prawne i polityczne, 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Wrocław 2000</w:t>
            </w:r>
          </w:p>
          <w:p w14:paraId="770C42E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lastRenderedPageBreak/>
              <w:t xml:space="preserve">Marczuk K.,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Współpraca dobrosąsiedzka Francji i Niemiec w obszarze bezpieczeństwa wew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nętrznego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 xml:space="preserve">, „Studia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Politica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Germanica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>” 1/2012</w:t>
            </w:r>
          </w:p>
          <w:p w14:paraId="0397B5C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Meresz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T.,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</w:rPr>
              <w:t>Grysińska-Jarmuła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</w:rPr>
              <w:t xml:space="preserve"> K. (red.), Od konfliktu do współistnienia i współpracy, Tom 1 i 2, Bydgoszcz 2017</w:t>
            </w:r>
          </w:p>
          <w:p w14:paraId="72FC33A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Staszewski W.,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 xml:space="preserve">Bezpieczeństwo międzynarodowe w traktatach o przyjaźni i współpracy zawartych przez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Polskę z państwami sąsiednim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i, „Studia prawnicze KUL” 2/2019</w:t>
            </w:r>
          </w:p>
          <w:p w14:paraId="6806F8B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Surmacz T.,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Współczesne stosunki polsko-ukraińskie : politologiczna analiza traktatu o dobrym sąsiedztwie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Lublin 2002</w:t>
            </w:r>
          </w:p>
          <w:p w14:paraId="52E56223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</w:rPr>
            </w:pPr>
          </w:p>
          <w:p w14:paraId="563BB7E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Wybrane traktaty o dobrym sąsiedztwie</w:t>
            </w:r>
          </w:p>
        </w:tc>
      </w:tr>
    </w:tbl>
    <w:p w14:paraId="07547A01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5043CB0F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FC20D3" w:rsidRDefault="00955A45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FC20D3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95A2A"/>
    <w:multiLevelType w:val="multilevel"/>
    <w:tmpl w:val="9FFAD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02653A"/>
    <w:multiLevelType w:val="multilevel"/>
    <w:tmpl w:val="8326B8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2971AA9"/>
    <w:rsid w:val="000A255F"/>
    <w:rsid w:val="00193319"/>
    <w:rsid w:val="00456A7B"/>
    <w:rsid w:val="00955A45"/>
    <w:rsid w:val="00FC20D3"/>
    <w:rsid w:val="02971AA9"/>
    <w:rsid w:val="0332A61B"/>
    <w:rsid w:val="0E6C80A5"/>
    <w:rsid w:val="22FAB9C8"/>
    <w:rsid w:val="247B99F6"/>
    <w:rsid w:val="271B0F5F"/>
    <w:rsid w:val="442E4D64"/>
    <w:rsid w:val="49192ACB"/>
    <w:rsid w:val="4B64A069"/>
    <w:rsid w:val="4D45B321"/>
    <w:rsid w:val="50730CF7"/>
    <w:rsid w:val="5B4D15FA"/>
    <w:rsid w:val="5C1D7C7D"/>
    <w:rsid w:val="5F726FDA"/>
    <w:rsid w:val="7C5C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9426"/>
  <w15:docId w15:val="{6EA3DA5E-4CCF-470A-B504-C888910A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841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Pikus Anna</cp:lastModifiedBy>
  <cp:revision>5</cp:revision>
  <dcterms:created xsi:type="dcterms:W3CDTF">2022-01-28T09:33:00Z</dcterms:created>
  <dcterms:modified xsi:type="dcterms:W3CDTF">2022-01-28T09:35:00Z</dcterms:modified>
</cp:coreProperties>
</file>